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9C2C" w14:textId="4AC1947C" w:rsidR="00AF62CC" w:rsidRPr="00273142" w:rsidRDefault="00A46EC5" w:rsidP="00A46EC5">
      <w:pPr>
        <w:jc w:val="center"/>
        <w:rPr>
          <w:rFonts w:ascii="ＭＳ 明朝" w:eastAsia="ＭＳ 明朝" w:hAnsi="ＭＳ 明朝"/>
          <w:b/>
          <w:bCs/>
        </w:rPr>
      </w:pPr>
      <w:r w:rsidRPr="00A46EC5">
        <w:rPr>
          <w:rFonts w:ascii="ＭＳ 明朝" w:eastAsia="ＭＳ 明朝" w:hAnsi="ＭＳ 明朝" w:hint="eastAsia"/>
          <w:b/>
          <w:bCs/>
          <w:sz w:val="32"/>
          <w:szCs w:val="36"/>
        </w:rPr>
        <w:t>地域活性化プラン提案書</w:t>
      </w:r>
    </w:p>
    <w:p w14:paraId="2C4F2146" w14:textId="77777777" w:rsidR="00AF62CC" w:rsidRPr="00273142" w:rsidRDefault="00AF62CC" w:rsidP="00AF62CC">
      <w:pPr>
        <w:rPr>
          <w:rFonts w:ascii="ＭＳ 明朝" w:eastAsia="ＭＳ 明朝" w:hAnsi="ＭＳ 明朝"/>
          <w:b/>
          <w:bCs/>
          <w:sz w:val="24"/>
          <w:szCs w:val="28"/>
        </w:rPr>
      </w:pPr>
    </w:p>
    <w:p w14:paraId="7A27DD30" w14:textId="43568FE8" w:rsidR="00036B11" w:rsidRPr="00273142" w:rsidRDefault="00273142" w:rsidP="00273142">
      <w:pPr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273142">
        <w:rPr>
          <w:rFonts w:ascii="ＭＳ 明朝" w:eastAsia="ＭＳ 明朝" w:hAnsi="ＭＳ 明朝" w:hint="eastAsia"/>
          <w:b/>
          <w:bCs/>
          <w:sz w:val="24"/>
          <w:szCs w:val="28"/>
        </w:rPr>
        <w:t>令和　　年　　月　　日</w:t>
      </w:r>
    </w:p>
    <w:p w14:paraId="665D6416" w14:textId="60BFF59E" w:rsidR="00036B11" w:rsidRDefault="00036B11" w:rsidP="00273142">
      <w:pPr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273142">
        <w:rPr>
          <w:rFonts w:ascii="ＭＳ 明朝" w:eastAsia="ＭＳ 明朝" w:hAnsi="ＭＳ 明朝" w:hint="eastAsia"/>
          <w:b/>
          <w:bCs/>
          <w:sz w:val="24"/>
          <w:szCs w:val="28"/>
        </w:rPr>
        <w:t>○</w:t>
      </w:r>
      <w:r w:rsidRPr="00273142">
        <w:rPr>
          <w:rFonts w:ascii="ＭＳ 明朝" w:eastAsia="ＭＳ 明朝" w:hAnsi="ＭＳ 明朝"/>
          <w:b/>
          <w:bCs/>
          <w:sz w:val="24"/>
          <w:szCs w:val="28"/>
        </w:rPr>
        <w:t xml:space="preserve"> ○</w:t>
      </w:r>
    </w:p>
    <w:p w14:paraId="3B089F64" w14:textId="77777777" w:rsidR="00BD66BC" w:rsidRPr="00273142" w:rsidRDefault="00BD66BC" w:rsidP="00273142">
      <w:pPr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081657" w14:paraId="3269950C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74635EB1" w14:textId="74C565E6" w:rsidR="00081657" w:rsidRDefault="00081657" w:rsidP="00BD66B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081657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目的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23348F48" w14:textId="152554DA" w:rsidR="00081657" w:rsidRDefault="00A46EC5" w:rsidP="00081657">
            <w:pPr>
              <w:spacing w:beforeLines="50" w:before="156" w:afterLines="50" w:after="156" w:line="276" w:lineRule="auto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本提案は、人口減少・高齢化・地域経済縮小など、自治体が直面する多様な課題への包括的解決策を提示し、地域の持続可能な発展と「住み続けたくなるまち」の実現を目指すものです。</w:t>
            </w:r>
          </w:p>
        </w:tc>
      </w:tr>
      <w:tr w:rsidR="00081657" w14:paraId="373D9348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507EDE11" w14:textId="707C90FF" w:rsidR="00081657" w:rsidRPr="00081657" w:rsidRDefault="00A46EC5" w:rsidP="00BD66B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背景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br/>
            </w: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課題認識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4AE5666F" w14:textId="77777777" w:rsidR="00A46EC5" w:rsidRPr="00A46EC5" w:rsidRDefault="00A46EC5" w:rsidP="00987087">
            <w:pPr>
              <w:pStyle w:val="ae"/>
              <w:numPr>
                <w:ilvl w:val="0"/>
                <w:numId w:val="1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若者定住・地元雇用の不足</w:t>
            </w:r>
          </w:p>
          <w:p w14:paraId="1865CCE6" w14:textId="77777777" w:rsidR="00A46EC5" w:rsidRPr="00A46EC5" w:rsidRDefault="00A46EC5" w:rsidP="00987087">
            <w:pPr>
              <w:pStyle w:val="ae"/>
              <w:numPr>
                <w:ilvl w:val="0"/>
                <w:numId w:val="1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地域産業や地場商業の競争力不足</w:t>
            </w:r>
          </w:p>
          <w:p w14:paraId="027FE887" w14:textId="77777777" w:rsidR="00A46EC5" w:rsidRPr="00A46EC5" w:rsidRDefault="00A46EC5" w:rsidP="00987087">
            <w:pPr>
              <w:pStyle w:val="ae"/>
              <w:numPr>
                <w:ilvl w:val="0"/>
                <w:numId w:val="1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高齢化進行による担い手減少と福祉・医療需要の増大</w:t>
            </w:r>
          </w:p>
          <w:p w14:paraId="2E1A04F9" w14:textId="53857BFE" w:rsidR="00081657" w:rsidRPr="00081657" w:rsidRDefault="00A46EC5" w:rsidP="00987087">
            <w:pPr>
              <w:pStyle w:val="ae"/>
              <w:numPr>
                <w:ilvl w:val="0"/>
                <w:numId w:val="1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地域資源の未活用と交流人口増加の停滞</w:t>
            </w:r>
          </w:p>
        </w:tc>
      </w:tr>
      <w:tr w:rsidR="00081657" w14:paraId="3569486D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77E9540C" w14:textId="4779EDED" w:rsidR="00081657" w:rsidRPr="00081657" w:rsidRDefault="00A46EC5" w:rsidP="00BD66B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総合的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br/>
            </w: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戦略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77641C99" w14:textId="378C213C" w:rsidR="00081657" w:rsidRPr="00081657" w:rsidRDefault="00A46EC5" w:rsidP="00A46EC5">
            <w:pPr>
              <w:pStyle w:val="ae"/>
              <w:numPr>
                <w:ilvl w:val="0"/>
                <w:numId w:val="16"/>
              </w:numPr>
              <w:spacing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多世代交流・移住促進</w:t>
            </w:r>
          </w:p>
          <w:p w14:paraId="39A2C341" w14:textId="77777777" w:rsidR="00A46EC5" w:rsidRPr="00A46EC5" w:rsidRDefault="00A46EC5" w:rsidP="00A46EC5">
            <w:pPr>
              <w:pStyle w:val="ae"/>
              <w:numPr>
                <w:ilvl w:val="1"/>
                <w:numId w:val="17"/>
              </w:numPr>
              <w:spacing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ワーケーション施設・交流拠点の整備と、短期滞在から定住までの移住サポート</w:t>
            </w:r>
          </w:p>
          <w:p w14:paraId="34D28610" w14:textId="77777777" w:rsidR="00A46EC5" w:rsidRPr="00A46EC5" w:rsidRDefault="00A46EC5" w:rsidP="00A46EC5">
            <w:pPr>
              <w:pStyle w:val="ae"/>
              <w:numPr>
                <w:ilvl w:val="1"/>
                <w:numId w:val="17"/>
              </w:numPr>
              <w:spacing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子育て・教育環境の充実やリモートワーク対応住宅の優遇制度</w:t>
            </w:r>
          </w:p>
          <w:p w14:paraId="200A1DE4" w14:textId="128819C0" w:rsidR="00081657" w:rsidRPr="00081657" w:rsidRDefault="00A46EC5" w:rsidP="00A46EC5">
            <w:pPr>
              <w:pStyle w:val="ae"/>
              <w:numPr>
                <w:ilvl w:val="1"/>
                <w:numId w:val="17"/>
              </w:numPr>
              <w:spacing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定住促進イベント・マッチング企画（若者・移住希望者・地元企業の座談会）</w:t>
            </w:r>
          </w:p>
          <w:p w14:paraId="34A33388" w14:textId="79755FB8" w:rsidR="00081657" w:rsidRDefault="00A46EC5" w:rsidP="00A46EC5">
            <w:pPr>
              <w:pStyle w:val="ae"/>
              <w:numPr>
                <w:ilvl w:val="0"/>
                <w:numId w:val="16"/>
              </w:numPr>
              <w:spacing w:beforeLines="50" w:before="156"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地域産業・観光の強化</w:t>
            </w:r>
          </w:p>
          <w:p w14:paraId="289D256E" w14:textId="77777777" w:rsidR="00A46EC5" w:rsidRPr="00A46EC5" w:rsidRDefault="00A46EC5" w:rsidP="00A46EC5">
            <w:pPr>
              <w:pStyle w:val="ae"/>
              <w:numPr>
                <w:ilvl w:val="0"/>
                <w:numId w:val="18"/>
              </w:numPr>
              <w:spacing w:line="276" w:lineRule="auto"/>
              <w:ind w:leftChars="0" w:left="877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地域ブランド構築（特産品×体験型観光×</w:t>
            </w:r>
            <w:r w:rsidRPr="00A46EC5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EC販売の連動施策）</w:t>
            </w:r>
          </w:p>
          <w:p w14:paraId="4FE871E1" w14:textId="77777777" w:rsidR="00A46EC5" w:rsidRPr="00A46EC5" w:rsidRDefault="00A46EC5" w:rsidP="00A46EC5">
            <w:pPr>
              <w:pStyle w:val="ae"/>
              <w:numPr>
                <w:ilvl w:val="0"/>
                <w:numId w:val="18"/>
              </w:numPr>
              <w:spacing w:line="276" w:lineRule="auto"/>
              <w:ind w:leftChars="0" w:left="877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農林水産・地場製造業の</w:t>
            </w:r>
            <w:r w:rsidRPr="00A46EC5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6次産業化・販路開拓や起業家育成支援</w:t>
            </w:r>
          </w:p>
          <w:p w14:paraId="3A931AEF" w14:textId="0E9AED42" w:rsidR="00081657" w:rsidRDefault="00A46EC5" w:rsidP="00A46EC5">
            <w:pPr>
              <w:pStyle w:val="ae"/>
              <w:numPr>
                <w:ilvl w:val="0"/>
                <w:numId w:val="18"/>
              </w:numPr>
              <w:spacing w:line="276" w:lineRule="auto"/>
              <w:ind w:leftChars="0" w:left="877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地域</w:t>
            </w:r>
            <w:r w:rsidRPr="00A46EC5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MICEや文化・スポーツイベントの誘致で交流人口・消費創出</w:t>
            </w:r>
          </w:p>
          <w:p w14:paraId="3259FC16" w14:textId="1C70BB6B" w:rsidR="00081657" w:rsidRDefault="00A46EC5" w:rsidP="007A436E">
            <w:pPr>
              <w:pStyle w:val="ae"/>
              <w:numPr>
                <w:ilvl w:val="0"/>
                <w:numId w:val="16"/>
              </w:numPr>
              <w:spacing w:beforeLines="50" w:before="156"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ICT・デジタル基盤推進</w:t>
            </w:r>
          </w:p>
          <w:p w14:paraId="1C406EC9" w14:textId="77777777" w:rsidR="00A46EC5" w:rsidRPr="00A46EC5" w:rsidRDefault="00A46EC5" w:rsidP="00A46EC5">
            <w:pPr>
              <w:pStyle w:val="ae"/>
              <w:numPr>
                <w:ilvl w:val="0"/>
                <w:numId w:val="21"/>
              </w:numPr>
              <w:spacing w:line="276" w:lineRule="auto"/>
              <w:ind w:leftChars="0" w:left="877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地域ポータルサイトや</w:t>
            </w:r>
            <w:r w:rsidRPr="00A46EC5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SNSの戦略活用、行政手続きのオンライン化</w:t>
            </w:r>
          </w:p>
          <w:p w14:paraId="2713BCE5" w14:textId="77777777" w:rsidR="00A46EC5" w:rsidRPr="00A46EC5" w:rsidRDefault="00A46EC5" w:rsidP="00A46EC5">
            <w:pPr>
              <w:pStyle w:val="ae"/>
              <w:numPr>
                <w:ilvl w:val="0"/>
                <w:numId w:val="21"/>
              </w:numPr>
              <w:spacing w:line="276" w:lineRule="auto"/>
              <w:ind w:leftChars="0" w:left="877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小中学生・高齢者向けのデジタルリテラシー教室</w:t>
            </w:r>
          </w:p>
          <w:p w14:paraId="4D4A45EC" w14:textId="07B67A49" w:rsidR="00081657" w:rsidRPr="00266014" w:rsidRDefault="00A46EC5" w:rsidP="00266014">
            <w:pPr>
              <w:pStyle w:val="ae"/>
              <w:numPr>
                <w:ilvl w:val="0"/>
                <w:numId w:val="21"/>
              </w:numPr>
              <w:spacing w:line="276" w:lineRule="auto"/>
              <w:ind w:leftChars="0" w:left="877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A46E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行政×民間×住民の情報連携・</w:t>
            </w:r>
            <w:r w:rsidRPr="00A46EC5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ICTオープンデータ戦略</w:t>
            </w:r>
          </w:p>
        </w:tc>
      </w:tr>
      <w:tr w:rsidR="00433AA8" w14:paraId="665267BA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096EE61F" w14:textId="77503C8A" w:rsidR="00433AA8" w:rsidRPr="00081657" w:rsidRDefault="00433AA8" w:rsidP="00266014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433AA8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実施体制</w:t>
            </w:r>
            <w:r w:rsidR="00266014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br/>
            </w:r>
            <w:r w:rsidR="00266014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推進方法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1FCC6135" w14:textId="77777777" w:rsidR="00266014" w:rsidRPr="00266014" w:rsidRDefault="00266014" w:rsidP="00987087">
            <w:pPr>
              <w:pStyle w:val="ae"/>
              <w:numPr>
                <w:ilvl w:val="0"/>
                <w:numId w:val="22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66014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市町村・商工会・観光協会・</w:t>
            </w:r>
            <w:r w:rsidRPr="00266014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NPO・外部専門家による「地域戦略会議」設置</w:t>
            </w:r>
          </w:p>
          <w:p w14:paraId="3CF00AC7" w14:textId="77777777" w:rsidR="00266014" w:rsidRPr="00266014" w:rsidRDefault="00266014" w:rsidP="00987087">
            <w:pPr>
              <w:pStyle w:val="ae"/>
              <w:numPr>
                <w:ilvl w:val="0"/>
                <w:numId w:val="22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66014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分野別ワーキンググループ（観光・移住・産業・福祉・教育）</w:t>
            </w:r>
          </w:p>
          <w:p w14:paraId="7E7EECE1" w14:textId="53F74B67" w:rsidR="00433AA8" w:rsidRPr="00081657" w:rsidRDefault="00266014" w:rsidP="00987087">
            <w:pPr>
              <w:pStyle w:val="ae"/>
              <w:numPr>
                <w:ilvl w:val="0"/>
                <w:numId w:val="22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66014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年一度の市民参加型フォーラムで成果・課題をオープンに共有</w:t>
            </w:r>
          </w:p>
        </w:tc>
      </w:tr>
      <w:tr w:rsidR="00081657" w14:paraId="76D8E97D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1D1A0A47" w14:textId="2685D942" w:rsidR="00081657" w:rsidRPr="00081657" w:rsidRDefault="00987087" w:rsidP="00BD66B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lastRenderedPageBreak/>
              <w:t>成果指標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br/>
            </w:r>
            <w:r w:rsidRPr="00987087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PDCA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30EF3E2D" w14:textId="77777777" w:rsidR="00987087" w:rsidRPr="00987087" w:rsidRDefault="00987087" w:rsidP="00987087">
            <w:pPr>
              <w:pStyle w:val="ae"/>
              <w:numPr>
                <w:ilvl w:val="0"/>
                <w:numId w:val="22"/>
              </w:numPr>
              <w:spacing w:beforeLines="50" w:before="156" w:line="276" w:lineRule="auto"/>
              <w:ind w:leftChars="0" w:left="310" w:hanging="283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交流人口・観光消費・移住希望件数・新事業数・市民満足度など</w:t>
            </w:r>
            <w:r w:rsidRPr="00987087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KPIを設定</w:t>
            </w:r>
          </w:p>
          <w:p w14:paraId="0B09178B" w14:textId="25942950" w:rsidR="00081657" w:rsidRPr="00081657" w:rsidRDefault="00987087" w:rsidP="00987087">
            <w:pPr>
              <w:pStyle w:val="ae"/>
              <w:numPr>
                <w:ilvl w:val="0"/>
                <w:numId w:val="22"/>
              </w:numPr>
              <w:spacing w:afterLines="50" w:after="156" w:line="276" w:lineRule="auto"/>
              <w:ind w:leftChars="0" w:left="310" w:hanging="283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半期ごとに進捗を可視化し、柔軟な事業改善と住民参画の拡大</w:t>
            </w:r>
          </w:p>
        </w:tc>
      </w:tr>
      <w:tr w:rsidR="00987087" w14:paraId="56610084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687A0306" w14:textId="085846FD" w:rsidR="00987087" w:rsidRPr="00987087" w:rsidRDefault="00987087" w:rsidP="00987087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期待される効果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1071D2F6" w14:textId="77777777" w:rsidR="00987087" w:rsidRPr="00987087" w:rsidRDefault="00987087" w:rsidP="00987087">
            <w:pPr>
              <w:pStyle w:val="ae"/>
              <w:numPr>
                <w:ilvl w:val="0"/>
                <w:numId w:val="22"/>
              </w:numPr>
              <w:spacing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観光客・交流人口増加、地域内消費循環の拡大</w:t>
            </w:r>
          </w:p>
          <w:p w14:paraId="76F38244" w14:textId="77777777" w:rsidR="00987087" w:rsidRPr="00987087" w:rsidRDefault="00987087" w:rsidP="00987087">
            <w:pPr>
              <w:pStyle w:val="ae"/>
              <w:numPr>
                <w:ilvl w:val="0"/>
                <w:numId w:val="22"/>
              </w:numPr>
              <w:spacing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移住定住人口の増加、地域ビジネス・雇用創出</w:t>
            </w:r>
          </w:p>
          <w:p w14:paraId="0E76D191" w14:textId="77777777" w:rsidR="00987087" w:rsidRPr="00987087" w:rsidRDefault="00987087" w:rsidP="00987087">
            <w:pPr>
              <w:pStyle w:val="ae"/>
              <w:numPr>
                <w:ilvl w:val="0"/>
                <w:numId w:val="22"/>
              </w:numPr>
              <w:spacing w:line="276" w:lineRule="auto"/>
              <w:ind w:leftChars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若者や外部人材の定着・活躍推進、地域の持続的ブランド力強化</w:t>
            </w:r>
          </w:p>
          <w:p w14:paraId="2BD2F07F" w14:textId="145A8609" w:rsidR="00987087" w:rsidRPr="00987087" w:rsidRDefault="00987087" w:rsidP="00987087">
            <w:pPr>
              <w:pStyle w:val="ae"/>
              <w:numPr>
                <w:ilvl w:val="0"/>
                <w:numId w:val="22"/>
              </w:numPr>
              <w:spacing w:line="276" w:lineRule="auto"/>
              <w:ind w:leftChars="0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産業と観光、教育、福祉の分野横断連携による新たな課題解決モデルの創出</w:t>
            </w:r>
          </w:p>
        </w:tc>
      </w:tr>
      <w:tr w:rsidR="00081657" w14:paraId="770B4A59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32535D61" w14:textId="699A8B5C" w:rsidR="00081657" w:rsidRPr="00081657" w:rsidRDefault="00987087" w:rsidP="00BD66B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継続性と自立化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586F0E92" w14:textId="77777777" w:rsidR="00987087" w:rsidRPr="00987087" w:rsidRDefault="00987087" w:rsidP="00987087">
            <w:pPr>
              <w:pStyle w:val="ae"/>
              <w:numPr>
                <w:ilvl w:val="0"/>
                <w:numId w:val="23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公民連携による財源多角化（クラウドファンディング・地場投資ファンドの活用）</w:t>
            </w:r>
          </w:p>
          <w:p w14:paraId="7FF8367D" w14:textId="77777777" w:rsidR="00987087" w:rsidRPr="00987087" w:rsidRDefault="00987087" w:rsidP="00987087">
            <w:pPr>
              <w:pStyle w:val="ae"/>
              <w:numPr>
                <w:ilvl w:val="0"/>
                <w:numId w:val="23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成功・未達事例も積極的に広域自治体や国に情報発信</w:t>
            </w:r>
          </w:p>
          <w:p w14:paraId="43322D93" w14:textId="2F16AED1" w:rsidR="00081657" w:rsidRPr="00C06AE9" w:rsidRDefault="00987087" w:rsidP="00987087">
            <w:pPr>
              <w:pStyle w:val="ae"/>
              <w:numPr>
                <w:ilvl w:val="0"/>
                <w:numId w:val="23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新たな政策ニーズや外部リソースを巻き込む仕組みの常時アップデート</w:t>
            </w:r>
          </w:p>
        </w:tc>
      </w:tr>
      <w:tr w:rsidR="00081657" w14:paraId="698ADE89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602BBFBD" w14:textId="77B91222" w:rsidR="00081657" w:rsidRPr="00081657" w:rsidRDefault="00987087" w:rsidP="00BD66B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実施スケジュール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2D8718A4" w14:textId="77777777" w:rsidR="00987087" w:rsidRPr="00987087" w:rsidRDefault="00987087" w:rsidP="00987087">
            <w:pPr>
              <w:pStyle w:val="ae"/>
              <w:numPr>
                <w:ilvl w:val="0"/>
                <w:numId w:val="24"/>
              </w:numPr>
              <w:spacing w:line="276" w:lineRule="auto"/>
              <w:ind w:leftChars="0" w:left="310" w:hanging="283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1年目：調査・計画策定、モデル事業実施</w:t>
            </w:r>
          </w:p>
          <w:p w14:paraId="66CA8CC7" w14:textId="77777777" w:rsidR="00987087" w:rsidRPr="00987087" w:rsidRDefault="00987087" w:rsidP="00987087">
            <w:pPr>
              <w:pStyle w:val="ae"/>
              <w:numPr>
                <w:ilvl w:val="0"/>
                <w:numId w:val="24"/>
              </w:numPr>
              <w:spacing w:line="276" w:lineRule="auto"/>
              <w:ind w:leftChars="0" w:left="310" w:hanging="283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2年目：本格実施（観光施策・産業支援・移住施策展開）</w:t>
            </w:r>
          </w:p>
          <w:p w14:paraId="0967AE00" w14:textId="04EB0A95" w:rsidR="00081657" w:rsidRPr="00C06AE9" w:rsidRDefault="00987087" w:rsidP="00987087">
            <w:pPr>
              <w:pStyle w:val="ae"/>
              <w:numPr>
                <w:ilvl w:val="0"/>
                <w:numId w:val="24"/>
              </w:numPr>
              <w:spacing w:line="276" w:lineRule="auto"/>
              <w:ind w:leftChars="0" w:left="310" w:hanging="283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t>3年目以降：効果検証・改善・持続的運営</w:t>
            </w:r>
          </w:p>
        </w:tc>
      </w:tr>
      <w:tr w:rsidR="00C06AE9" w14:paraId="4A1D6BB4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5DB8E5DE" w14:textId="182173D6" w:rsidR="00C06AE9" w:rsidRPr="00081657" w:rsidRDefault="00987087" w:rsidP="00BD66B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予算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  <w:br/>
            </w: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（概算）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5DBAF709" w14:textId="77777777" w:rsidR="00987087" w:rsidRPr="00987087" w:rsidRDefault="00987087" w:rsidP="00987087">
            <w:pPr>
              <w:pStyle w:val="ae"/>
              <w:numPr>
                <w:ilvl w:val="0"/>
                <w:numId w:val="2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調査・広報費：○○円</w:t>
            </w:r>
          </w:p>
          <w:p w14:paraId="786A865E" w14:textId="77777777" w:rsidR="00987087" w:rsidRPr="00987087" w:rsidRDefault="00987087" w:rsidP="00987087">
            <w:pPr>
              <w:pStyle w:val="ae"/>
              <w:numPr>
                <w:ilvl w:val="0"/>
                <w:numId w:val="2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イベント・観光事業費：○○円</w:t>
            </w:r>
          </w:p>
          <w:p w14:paraId="251F72ED" w14:textId="77777777" w:rsidR="00987087" w:rsidRPr="00987087" w:rsidRDefault="00987087" w:rsidP="00987087">
            <w:pPr>
              <w:pStyle w:val="ae"/>
              <w:numPr>
                <w:ilvl w:val="0"/>
                <w:numId w:val="2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産業振興・起業支援費：○○円</w:t>
            </w:r>
          </w:p>
          <w:p w14:paraId="10466395" w14:textId="77777777" w:rsidR="00987087" w:rsidRPr="00987087" w:rsidRDefault="00987087" w:rsidP="00987087">
            <w:pPr>
              <w:pStyle w:val="ae"/>
              <w:numPr>
                <w:ilvl w:val="0"/>
                <w:numId w:val="2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移住支援・空き家活用費：○○円</w:t>
            </w:r>
          </w:p>
          <w:p w14:paraId="19576DD6" w14:textId="48DD0877" w:rsidR="00C06AE9" w:rsidRPr="00987087" w:rsidRDefault="00987087" w:rsidP="00987087">
            <w:pPr>
              <w:pStyle w:val="ae"/>
              <w:numPr>
                <w:ilvl w:val="0"/>
                <w:numId w:val="25"/>
              </w:numPr>
              <w:spacing w:line="276" w:lineRule="auto"/>
              <w:ind w:leftChars="0" w:left="310" w:hanging="27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コミュニティ活動支援費：○○円</w:t>
            </w:r>
          </w:p>
        </w:tc>
      </w:tr>
      <w:tr w:rsidR="00987087" w14:paraId="779F0F38" w14:textId="77777777" w:rsidTr="00BD66BC">
        <w:tc>
          <w:tcPr>
            <w:tcW w:w="1271" w:type="dxa"/>
            <w:tcMar>
              <w:top w:w="113" w:type="dxa"/>
              <w:bottom w:w="113" w:type="dxa"/>
            </w:tcMar>
            <w:vAlign w:val="center"/>
          </w:tcPr>
          <w:p w14:paraId="1A7A14A9" w14:textId="68505AA2" w:rsidR="00987087" w:rsidRPr="00081657" w:rsidRDefault="00987087" w:rsidP="00BD66B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まとめ</w:t>
            </w:r>
          </w:p>
        </w:tc>
        <w:tc>
          <w:tcPr>
            <w:tcW w:w="7796" w:type="dxa"/>
            <w:tcMar>
              <w:top w:w="113" w:type="dxa"/>
              <w:bottom w:w="113" w:type="dxa"/>
            </w:tcMar>
          </w:tcPr>
          <w:p w14:paraId="5877665E" w14:textId="259D3A35" w:rsidR="00987087" w:rsidRPr="00081657" w:rsidRDefault="00987087" w:rsidP="00081657">
            <w:pPr>
              <w:spacing w:line="276" w:lineRule="auto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98708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本地域活性化プランは、経済・社会・住民生活の三位一体の向上を目指し、地域の持続的発展を支える取り組みです。自治体が主体となり、地域の多様な関係者と協働することで、将来にわたる活力あるまちづくりが実現できます。</w:t>
            </w:r>
          </w:p>
        </w:tc>
      </w:tr>
    </w:tbl>
    <w:p w14:paraId="3514ECAF" w14:textId="5B97D70E" w:rsidR="00CB0971" w:rsidRPr="00CB0971" w:rsidRDefault="00CB0971" w:rsidP="00987087">
      <w:pPr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</w:p>
    <w:sectPr w:rsidR="00CB0971" w:rsidRPr="00CB0971" w:rsidSect="007A436E">
      <w:footerReference w:type="default" r:id="rId7"/>
      <w:type w:val="continuous"/>
      <w:pgSz w:w="11905" w:h="16837"/>
      <w:pgMar w:top="1418" w:right="1134" w:bottom="1134" w:left="1701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B516" w14:textId="77777777" w:rsidR="00531948" w:rsidRDefault="00531948" w:rsidP="002E0B98">
      <w:r>
        <w:separator/>
      </w:r>
    </w:p>
  </w:endnote>
  <w:endnote w:type="continuationSeparator" w:id="0">
    <w:p w14:paraId="75D9163A" w14:textId="77777777" w:rsidR="00531948" w:rsidRDefault="00531948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06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B80E3B" w14:textId="46802EEB" w:rsidR="00CB0971" w:rsidRDefault="00CB0971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0FADE" w14:textId="77777777" w:rsidR="00CB0971" w:rsidRDefault="00CB09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29D2" w14:textId="77777777" w:rsidR="00531948" w:rsidRDefault="00531948" w:rsidP="002E0B98">
      <w:r>
        <w:separator/>
      </w:r>
    </w:p>
  </w:footnote>
  <w:footnote w:type="continuationSeparator" w:id="0">
    <w:p w14:paraId="1E326779" w14:textId="77777777" w:rsidR="00531948" w:rsidRDefault="00531948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8B"/>
    <w:multiLevelType w:val="hybridMultilevel"/>
    <w:tmpl w:val="FED0FD42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2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655206"/>
    <w:multiLevelType w:val="hybridMultilevel"/>
    <w:tmpl w:val="57665810"/>
    <w:lvl w:ilvl="0" w:tplc="FFFFFFFF">
      <w:start w:val="1"/>
      <w:numFmt w:val="aiueo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00" w:hanging="440"/>
      </w:pPr>
      <w:rPr>
        <w:rFonts w:ascii="Wingdings" w:hAnsi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1856023"/>
    <w:multiLevelType w:val="hybridMultilevel"/>
    <w:tmpl w:val="D56AE0A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713EA0"/>
    <w:multiLevelType w:val="hybridMultilevel"/>
    <w:tmpl w:val="603C4C54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2F2586"/>
    <w:multiLevelType w:val="hybridMultilevel"/>
    <w:tmpl w:val="D0A60A9E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2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575274"/>
    <w:multiLevelType w:val="hybridMultilevel"/>
    <w:tmpl w:val="DF147FA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B536D31"/>
    <w:multiLevelType w:val="hybridMultilevel"/>
    <w:tmpl w:val="6B7E3374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D49212F"/>
    <w:multiLevelType w:val="hybridMultilevel"/>
    <w:tmpl w:val="B8CE5A8A"/>
    <w:lvl w:ilvl="0" w:tplc="EF1C9CD0">
      <w:start w:val="1"/>
      <w:numFmt w:val="aiueo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00" w:hanging="440"/>
      </w:pPr>
      <w:rPr>
        <w:rFonts w:ascii="Wingdings" w:hAnsi="Wingdings" w:hint="default"/>
        <w:szCs w:val="40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1D881C12"/>
    <w:multiLevelType w:val="hybridMultilevel"/>
    <w:tmpl w:val="2E3E66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FB46C22"/>
    <w:multiLevelType w:val="hybridMultilevel"/>
    <w:tmpl w:val="8CFC2BF4"/>
    <w:lvl w:ilvl="0" w:tplc="940C110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9E727B"/>
    <w:multiLevelType w:val="hybridMultilevel"/>
    <w:tmpl w:val="77F21F0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4562D90"/>
    <w:multiLevelType w:val="hybridMultilevel"/>
    <w:tmpl w:val="F2FAF85A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2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5" w15:restartNumberingAfterBreak="0">
    <w:nsid w:val="35912AAB"/>
    <w:multiLevelType w:val="hybridMultilevel"/>
    <w:tmpl w:val="571A123A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61628AA"/>
    <w:multiLevelType w:val="hybridMultilevel"/>
    <w:tmpl w:val="9BE2B74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F415DB8"/>
    <w:multiLevelType w:val="hybridMultilevel"/>
    <w:tmpl w:val="4162D62E"/>
    <w:lvl w:ilvl="0" w:tplc="FFFFFFFF">
      <w:start w:val="1"/>
      <w:numFmt w:val="aiueo"/>
      <w:lvlText w:val="%1)"/>
      <w:lvlJc w:val="left"/>
      <w:pPr>
        <w:ind w:left="860" w:hanging="440"/>
      </w:pPr>
      <w:rPr>
        <w:rFonts w:hint="eastAsia"/>
      </w:rPr>
    </w:lvl>
    <w:lvl w:ilvl="1" w:tplc="9F481430">
      <w:start w:val="1"/>
      <w:numFmt w:val="bullet"/>
      <w:lvlText w:val=""/>
      <w:lvlJc w:val="left"/>
      <w:pPr>
        <w:ind w:left="1300" w:hanging="440"/>
      </w:pPr>
      <w:rPr>
        <w:rFonts w:ascii="Wingdings" w:hAnsi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42BD1112"/>
    <w:multiLevelType w:val="hybridMultilevel"/>
    <w:tmpl w:val="42F2B9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DC19A7"/>
    <w:multiLevelType w:val="hybridMultilevel"/>
    <w:tmpl w:val="B71402D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EAC3762"/>
    <w:multiLevelType w:val="hybridMultilevel"/>
    <w:tmpl w:val="D7C8C0B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73B7714D"/>
    <w:multiLevelType w:val="hybridMultilevel"/>
    <w:tmpl w:val="4888E78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8C456EC"/>
    <w:multiLevelType w:val="hybridMultilevel"/>
    <w:tmpl w:val="D0EA5BF6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1B54D9A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17"/>
  </w:num>
  <w:num w:numId="2" w16cid:durableId="89661662">
    <w:abstractNumId w:val="1"/>
  </w:num>
  <w:num w:numId="3" w16cid:durableId="1241330323">
    <w:abstractNumId w:val="20"/>
  </w:num>
  <w:num w:numId="4" w16cid:durableId="749081454">
    <w:abstractNumId w:val="13"/>
  </w:num>
  <w:num w:numId="5" w16cid:durableId="592861460">
    <w:abstractNumId w:val="14"/>
  </w:num>
  <w:num w:numId="6" w16cid:durableId="934050157">
    <w:abstractNumId w:val="10"/>
  </w:num>
  <w:num w:numId="7" w16cid:durableId="1535655253">
    <w:abstractNumId w:val="8"/>
  </w:num>
  <w:num w:numId="8" w16cid:durableId="911700940">
    <w:abstractNumId w:val="18"/>
  </w:num>
  <w:num w:numId="9" w16cid:durableId="86121914">
    <w:abstractNumId w:val="2"/>
  </w:num>
  <w:num w:numId="10" w16cid:durableId="1086850597">
    <w:abstractNumId w:val="23"/>
  </w:num>
  <w:num w:numId="11" w16cid:durableId="706682990">
    <w:abstractNumId w:val="21"/>
  </w:num>
  <w:num w:numId="12" w16cid:durableId="1586914555">
    <w:abstractNumId w:val="15"/>
  </w:num>
  <w:num w:numId="13" w16cid:durableId="105390554">
    <w:abstractNumId w:val="22"/>
  </w:num>
  <w:num w:numId="14" w16cid:durableId="1067531358">
    <w:abstractNumId w:val="6"/>
  </w:num>
  <w:num w:numId="15" w16cid:durableId="543252187">
    <w:abstractNumId w:val="19"/>
  </w:num>
  <w:num w:numId="16" w16cid:durableId="674117392">
    <w:abstractNumId w:val="7"/>
  </w:num>
  <w:num w:numId="17" w16cid:durableId="1418550560">
    <w:abstractNumId w:val="24"/>
  </w:num>
  <w:num w:numId="18" w16cid:durableId="848719594">
    <w:abstractNumId w:val="5"/>
  </w:num>
  <w:num w:numId="19" w16cid:durableId="175117476">
    <w:abstractNumId w:val="0"/>
  </w:num>
  <w:num w:numId="20" w16cid:durableId="758067285">
    <w:abstractNumId w:val="12"/>
  </w:num>
  <w:num w:numId="21" w16cid:durableId="1699113213">
    <w:abstractNumId w:val="4"/>
  </w:num>
  <w:num w:numId="22" w16cid:durableId="878279131">
    <w:abstractNumId w:val="3"/>
  </w:num>
  <w:num w:numId="23" w16cid:durableId="584384786">
    <w:abstractNumId w:val="16"/>
  </w:num>
  <w:num w:numId="24" w16cid:durableId="1829050593">
    <w:abstractNumId w:val="9"/>
  </w:num>
  <w:num w:numId="25" w16cid:durableId="1342975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69E8"/>
    <w:rsid w:val="00021222"/>
    <w:rsid w:val="00032169"/>
    <w:rsid w:val="00036B11"/>
    <w:rsid w:val="000553ED"/>
    <w:rsid w:val="00074804"/>
    <w:rsid w:val="00081657"/>
    <w:rsid w:val="00095FA9"/>
    <w:rsid w:val="000B5185"/>
    <w:rsid w:val="000B5F14"/>
    <w:rsid w:val="000E044F"/>
    <w:rsid w:val="000F4F74"/>
    <w:rsid w:val="00112018"/>
    <w:rsid w:val="00131B6C"/>
    <w:rsid w:val="00173558"/>
    <w:rsid w:val="00182F67"/>
    <w:rsid w:val="001B0A09"/>
    <w:rsid w:val="001E522B"/>
    <w:rsid w:val="00237D78"/>
    <w:rsid w:val="002520BA"/>
    <w:rsid w:val="00260F44"/>
    <w:rsid w:val="00266014"/>
    <w:rsid w:val="00273142"/>
    <w:rsid w:val="002D1431"/>
    <w:rsid w:val="002E0B98"/>
    <w:rsid w:val="002F5645"/>
    <w:rsid w:val="00302882"/>
    <w:rsid w:val="0031319B"/>
    <w:rsid w:val="0031783A"/>
    <w:rsid w:val="00324353"/>
    <w:rsid w:val="00341CAB"/>
    <w:rsid w:val="00346453"/>
    <w:rsid w:val="003625EB"/>
    <w:rsid w:val="00377E7F"/>
    <w:rsid w:val="003A228A"/>
    <w:rsid w:val="003A67BA"/>
    <w:rsid w:val="003F03EA"/>
    <w:rsid w:val="004036A0"/>
    <w:rsid w:val="00404A22"/>
    <w:rsid w:val="00411410"/>
    <w:rsid w:val="00433AA8"/>
    <w:rsid w:val="004343D6"/>
    <w:rsid w:val="00450817"/>
    <w:rsid w:val="00456B40"/>
    <w:rsid w:val="004B3383"/>
    <w:rsid w:val="004D2E08"/>
    <w:rsid w:val="004E15D7"/>
    <w:rsid w:val="004E7608"/>
    <w:rsid w:val="00501923"/>
    <w:rsid w:val="0052100E"/>
    <w:rsid w:val="00531948"/>
    <w:rsid w:val="00534BE2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6D78"/>
    <w:rsid w:val="006508D8"/>
    <w:rsid w:val="00652621"/>
    <w:rsid w:val="0065444B"/>
    <w:rsid w:val="006A0105"/>
    <w:rsid w:val="006A4C90"/>
    <w:rsid w:val="006C5AF6"/>
    <w:rsid w:val="006F1482"/>
    <w:rsid w:val="0071597A"/>
    <w:rsid w:val="00734F11"/>
    <w:rsid w:val="0073682F"/>
    <w:rsid w:val="007A436E"/>
    <w:rsid w:val="007A4859"/>
    <w:rsid w:val="0080361E"/>
    <w:rsid w:val="008135CD"/>
    <w:rsid w:val="0081728F"/>
    <w:rsid w:val="008573CA"/>
    <w:rsid w:val="00872A75"/>
    <w:rsid w:val="0088617D"/>
    <w:rsid w:val="00886DE8"/>
    <w:rsid w:val="008B5953"/>
    <w:rsid w:val="008D125C"/>
    <w:rsid w:val="008E2D0B"/>
    <w:rsid w:val="00935CF0"/>
    <w:rsid w:val="00981C49"/>
    <w:rsid w:val="00987087"/>
    <w:rsid w:val="009A58C0"/>
    <w:rsid w:val="009B4B09"/>
    <w:rsid w:val="009D142F"/>
    <w:rsid w:val="009D31A7"/>
    <w:rsid w:val="009F39FD"/>
    <w:rsid w:val="00A30A8E"/>
    <w:rsid w:val="00A320FB"/>
    <w:rsid w:val="00A3799F"/>
    <w:rsid w:val="00A46EC5"/>
    <w:rsid w:val="00A51903"/>
    <w:rsid w:val="00A65D50"/>
    <w:rsid w:val="00A72610"/>
    <w:rsid w:val="00AA2ADD"/>
    <w:rsid w:val="00AB7109"/>
    <w:rsid w:val="00AC41A9"/>
    <w:rsid w:val="00AC5342"/>
    <w:rsid w:val="00AD0B40"/>
    <w:rsid w:val="00AD3926"/>
    <w:rsid w:val="00AF62CC"/>
    <w:rsid w:val="00B20249"/>
    <w:rsid w:val="00B5652B"/>
    <w:rsid w:val="00B70AB1"/>
    <w:rsid w:val="00B74C4C"/>
    <w:rsid w:val="00B90EC4"/>
    <w:rsid w:val="00B9743A"/>
    <w:rsid w:val="00B97F0E"/>
    <w:rsid w:val="00BC5EE7"/>
    <w:rsid w:val="00BD66BC"/>
    <w:rsid w:val="00C06AE9"/>
    <w:rsid w:val="00C367B1"/>
    <w:rsid w:val="00C36964"/>
    <w:rsid w:val="00C57B7B"/>
    <w:rsid w:val="00C70BCA"/>
    <w:rsid w:val="00C90EE9"/>
    <w:rsid w:val="00CB0971"/>
    <w:rsid w:val="00D373E6"/>
    <w:rsid w:val="00D41C7C"/>
    <w:rsid w:val="00D75107"/>
    <w:rsid w:val="00D75542"/>
    <w:rsid w:val="00DB7DCF"/>
    <w:rsid w:val="00DE19C7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Web">
    <w:name w:val="Normal (Web)"/>
    <w:basedOn w:val="a"/>
    <w:uiPriority w:val="99"/>
    <w:unhideWhenUsed/>
    <w:rsid w:val="00273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24</cp:revision>
  <cp:lastPrinted>2023-10-25T02:28:00Z</cp:lastPrinted>
  <dcterms:created xsi:type="dcterms:W3CDTF">2025-06-07T01:19:00Z</dcterms:created>
  <dcterms:modified xsi:type="dcterms:W3CDTF">2025-09-26T08:43:00Z</dcterms:modified>
</cp:coreProperties>
</file>